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76"/>
        <w:jc w:val="right"/>
        <w:spacing w:after="0"/>
        <w:rPr>
          <w:rFonts w:ascii="Times New Roman" w:hAnsi="Times New Roman"/>
          <w:spacing w:val="-2"/>
          <w:sz w:val="24"/>
          <w:szCs w:val="24"/>
          <w:lang w:val="uz-Latn-UZ"/>
        </w:rPr>
      </w:pPr>
      <w:r>
        <w:rPr>
          <w:rFonts w:ascii="Times New Roman" w:hAnsi="Times New Roman"/>
          <w:spacing w:val="-2"/>
          <w:sz w:val="24"/>
          <w:szCs w:val="24"/>
          <w:lang w:val="uz-Latn-UZ"/>
        </w:rPr>
        <w:t xml:space="preserve">Toshkent shahar adliya boshqarmasi</w:t>
      </w:r>
      <w:r/>
    </w:p>
    <w:p>
      <w:pPr>
        <w:pStyle w:val="843"/>
        <w:jc w:val="right"/>
        <w:rPr>
          <w:spacing w:val="-2"/>
          <w:sz w:val="24"/>
          <w:lang w:val="en-US"/>
        </w:rPr>
      </w:pPr>
      <w:r>
        <w:rPr>
          <w:spacing w:val="-2"/>
          <w:sz w:val="24"/>
          <w:lang w:val="uz-Latn-UZ"/>
        </w:rPr>
        <w:t xml:space="preserve"> hay’at majlisining</w:t>
      </w:r>
      <w:r>
        <w:rPr>
          <w:spacing w:val="-2"/>
          <w:sz w:val="24"/>
          <w:lang w:val="uz-Cyrl-UZ"/>
        </w:rPr>
        <w:t xml:space="preserve"> 2025 </w:t>
      </w:r>
      <w:r>
        <w:rPr>
          <w:spacing w:val="-2"/>
          <w:sz w:val="24"/>
          <w:lang w:val="en-US"/>
        </w:rPr>
        <w:t xml:space="preserve">yil 17 iyuldaqgi </w:t>
      </w:r>
      <w:r/>
    </w:p>
    <w:p>
      <w:pPr>
        <w:pStyle w:val="843"/>
        <w:jc w:val="right"/>
        <w:rPr>
          <w:spacing w:val="-2"/>
          <w:sz w:val="24"/>
          <w:lang w:val="en-US"/>
        </w:rPr>
      </w:pPr>
      <w:r>
        <w:rPr>
          <w:spacing w:val="-2"/>
          <w:sz w:val="24"/>
          <w:lang w:val="en-US"/>
        </w:rPr>
        <w:t xml:space="preserve">4/25-sonli qaroriga 2-ILOVA</w:t>
      </w:r>
      <w:r/>
    </w:p>
    <w:p>
      <w:pPr>
        <w:pStyle w:val="843"/>
        <w:rPr>
          <w:sz w:val="24"/>
          <w:lang w:val="uz-Cyrl-UZ"/>
        </w:rPr>
      </w:pPr>
      <w:r>
        <w:rPr>
          <w:spacing w:val="-2"/>
          <w:sz w:val="24"/>
          <w:lang w:val="en-US"/>
        </w:rPr>
        <w:t xml:space="preserve">Tuman adliya bo‘limlarining </w:t>
      </w:r>
      <w:r>
        <w:rPr>
          <w:sz w:val="24"/>
          <w:lang w:val="uz-Cyrl-UZ"/>
        </w:rPr>
        <w:t xml:space="preserve">202</w:t>
      </w:r>
      <w:r>
        <w:rPr>
          <w:sz w:val="24"/>
          <w:lang w:val="en-US"/>
        </w:rPr>
        <w:t xml:space="preserve">5</w:t>
      </w:r>
      <w:r>
        <w:rPr>
          <w:sz w:val="24"/>
          <w:lang w:val="uz-Cyrl-UZ"/>
        </w:rPr>
        <w:t xml:space="preserve"> yil </w:t>
      </w:r>
      <w:r>
        <w:rPr>
          <w:sz w:val="24"/>
          <w:lang w:val="uz-Cyrl-UZ"/>
        </w:rPr>
        <w:t xml:space="preserve">II</w:t>
      </w:r>
      <w:r>
        <w:rPr>
          <w:sz w:val="24"/>
          <w:lang w:val="uz-Cyrl-UZ"/>
        </w:rPr>
        <w:t xml:space="preserve">I va choraklarga </w:t>
      </w:r>
      <w:r>
        <w:rPr>
          <w:sz w:val="24"/>
          <w:lang w:val="en-US"/>
        </w:rPr>
        <w:t xml:space="preserve">IV </w:t>
      </w:r>
      <w:r>
        <w:rPr>
          <w:sz w:val="24"/>
          <w:lang w:val="uz-Cyrl-UZ"/>
        </w:rPr>
        <w:t xml:space="preserve">(</w:t>
      </w:r>
      <w:r>
        <w:rPr>
          <w:sz w:val="24"/>
          <w:lang w:val="en-US"/>
        </w:rPr>
        <w:t xml:space="preserve">I</w:t>
      </w:r>
      <w:r>
        <w:rPr>
          <w:sz w:val="24"/>
          <w:lang w:val="uz-Cyrl-UZ"/>
        </w:rPr>
        <w:t xml:space="preserve">I yarim yillikka) mo‘ljallangan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ISH REJASI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</w:r>
      <w:r/>
    </w:p>
    <w:tbl>
      <w:tblPr>
        <w:tblStyle w:val="836"/>
        <w:tblW w:w="148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06"/>
        <w:gridCol w:w="1587"/>
        <w:gridCol w:w="3370"/>
        <w:gridCol w:w="3087"/>
        <w:gridCol w:w="1562"/>
      </w:tblGrid>
      <w:tr>
        <w:trPr>
          <w:cantSplit/>
          <w:jc w:val="center"/>
          <w:trHeight w:val="627"/>
          <w:tblHeader/>
        </w:trPr>
        <w:tc>
          <w:tcPr>
            <w:shd w:val="clear" w:color="auto" w:fill="deeaf6" w:themeFill="accent1" w:themeFillTint="33"/>
            <w:tcW w:w="562" w:type="dxa"/>
            <w:textDirection w:val="lrTb"/>
            <w:noWrap w:val="false"/>
          </w:tcPr>
          <w:p>
            <w:pPr>
              <w:ind w:right="-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deeaf6" w:themeFill="accent1" w:themeFillTint="33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1. 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Tadbir nomi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**</w:t>
            </w:r>
            <w:r/>
          </w:p>
          <w:p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(“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Asos” qismida keltirilgan muammoni bartaraf qilish uchun choralar)</w:t>
            </w:r>
            <w:r/>
          </w:p>
        </w:tc>
        <w:tc>
          <w:tcPr>
            <w:shd w:val="clear" w:color="auto" w:fill="deeaf6" w:themeFill="accent1" w:themeFillTint="33"/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2. 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 xml:space="preserve">Ijro muddati</w:t>
            </w:r>
            <w:r/>
          </w:p>
        </w:tc>
        <w:tc>
          <w:tcPr>
            <w:shd w:val="clear" w:color="auto" w:fill="deeaf6" w:themeFill="accent1" w:themeFillTint="33"/>
            <w:tcW w:w="15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3. 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Mas’ul ijrochilar***</w:t>
            </w:r>
            <w:r/>
          </w:p>
        </w:tc>
        <w:tc>
          <w:tcPr>
            <w:shd w:val="clear" w:color="auto" w:fill="deeaf6" w:themeFill="accent1" w:themeFillTint="33"/>
            <w:tcW w:w="33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4. 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 xml:space="preserve">Asos</w:t>
            </w:r>
            <w:r/>
          </w:p>
          <w:p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z-Cyrl-UZ" w:eastAsia="ru-RU"/>
              </w:rPr>
              <w:t xml:space="preserve">(yuzaga kelayotgan muammo)</w:t>
            </w:r>
            <w:r/>
          </w:p>
        </w:tc>
        <w:tc>
          <w:tcPr>
            <w:shd w:val="clear" w:color="auto" w:fill="deeaf6" w:themeFill="accent1" w:themeFillTint="33"/>
            <w:tcW w:w="30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5. Maqsad</w:t>
            </w:r>
            <w:r/>
          </w:p>
          <w:p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 w:eastAsia="ru-RU"/>
              </w:rPr>
              <w:t xml:space="preserve">(1-bandda nazarda tutilgan tadbir amalga oshirilishidan kutilayotgan natija)</w:t>
            </w:r>
            <w:r/>
          </w:p>
        </w:tc>
        <w:tc>
          <w:tcPr>
            <w:shd w:val="clear" w:color="auto" w:fill="deeaf6" w:themeFill="accent1" w:themeFillTint="33"/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Talab qilinadigan resurslar</w:t>
            </w:r>
            <w:r/>
          </w:p>
        </w:tc>
      </w:tr>
      <w:tr>
        <w:trPr>
          <w:jc w:val="center"/>
          <w:trHeight w:val="241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“Men Vatanimning yuziman” nomli targ‘ibot kampaniyasini tashkil etish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 xml:space="preserve">iyul noyabr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M.Turdiyeva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Tuman adliya bo‘limlari</w:t>
            </w:r>
            <w:r/>
          </w:p>
        </w:tc>
        <w:tc>
          <w:tcPr>
            <w:tcW w:w="3370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color w:val="ff0000"/>
                <w:lang w:val="en-US"/>
              </w:rPr>
              <w:t xml:space="preserve">Vazirlik ish rejasiga </w:t>
            </w:r>
            <w:r>
              <w:rPr>
                <w:color w:val="ff0000"/>
                <w:lang w:val="en-US"/>
              </w:rPr>
              <w:t xml:space="preserve">muvofiq</w:t>
            </w:r>
            <w:r>
              <w:rPr>
                <w:color w:val="ff0000"/>
                <w:lang w:val="en-US"/>
              </w:rPr>
              <w:t xml:space="preserve"> </w:t>
            </w:r>
            <w:r>
              <w:rPr>
                <w:lang w:val="uz-Cyrl-UZ"/>
              </w:rPr>
              <w:t xml:space="preserve">So‘nggi davrda chet elda bo‘lgan O‘zbekiston Respublikasi fuqarolari tomonidan ko‘plab turli darajadagi huquqbuzarliklar va jinoyatlar sodir etilganligiga guvoh bo‘lmoqdamiz. H</w:t>
            </w:r>
            <w:r>
              <w:rPr>
                <w:lang w:val="uz-Cyrl-UZ"/>
              </w:rPr>
              <w:t xml:space="preserve">uquqbuzarliklarni yuzaga kelishiga sabab bo‘layotgan omillar sifatida xorijiy mamlakatlarning qonunlari va madaniy qoidalarini yetarlicha bilmasligi, iqtisodiy omillar, oilaviy nazoratning zaifligi, radikallashuv va siyosiy omillarni ko‘rsatishimiz mumkin.</w:t>
            </w:r>
            <w:r/>
          </w:p>
        </w:tc>
        <w:tc>
          <w:tcPr>
            <w:tcW w:w="3087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 xml:space="preserve">Axloqiy, madaniy va huquqiy bilimlarni oshirish orqali xorijdagi salbiy hodisalarni kamaytirish. </w:t>
            </w:r>
            <w:r>
              <w:t xml:space="preserve">Turizm va mehnat migratsiyasi sohalarida milliy brendingni mustahkamlash.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</w:r>
            <w:r/>
          </w:p>
        </w:tc>
      </w:tr>
      <w:tr>
        <w:trPr>
          <w:jc w:val="center"/>
          <w:trHeight w:val="241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uz-Cyrl-UZ"/>
              </w:rPr>
              <w:t xml:space="preserve">Ijtimoiy himoyaga muhtoj aholi qatlami huquqlarini himoya qilishga qaratilgan “huquqiy ko‘mak” aksiyasini o‘tkazish. </w:t>
            </w:r>
            <w:r>
              <w:t xml:space="preserve">Natijasi boʻyicha vazirlik rahbariyatiga axborot-tahliliy ma’lumotnoma kiritish.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 xml:space="preserve">Avgust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A.Nekov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Tuman adliya bo‘limlari</w:t>
            </w:r>
            <w:r/>
          </w:p>
        </w:tc>
        <w:tc>
          <w:tcPr>
            <w:tcW w:w="3370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ff0000"/>
                <w:lang w:val="en-US"/>
              </w:rPr>
              <w:t xml:space="preserve">Vazirlik ish rejasiga </w:t>
            </w:r>
            <w:r>
              <w:rPr>
                <w:color w:val="ff0000"/>
                <w:lang w:val="en-US"/>
              </w:rPr>
              <w:t xml:space="preserve">muvofiq</w:t>
            </w:r>
            <w:r>
              <w:rPr>
                <w:color w:val="ff0000"/>
                <w:lang w:val="en-US"/>
              </w:rPr>
              <w:t xml:space="preserve"> </w:t>
            </w:r>
            <w:r>
              <w:rPr>
                <w:lang w:val="en-US"/>
              </w:rPr>
              <w:t xml:space="preserve">Ijtimoiy himoyaga muhtoj aholi qatlamiga nisbatan qonunchilikda belgilangan imtiyozlar va kafolatlarning qo‘llanmaslik </w:t>
            </w:r>
            <w:r>
              <w:rPr>
                <w:lang w:val="en-US"/>
              </w:rPr>
              <w:t xml:space="preserve">holatlari bo‘yicha tegishli murojaatlar kelib tushmoqda. Shuningdek, ijtimoiy himoyaga muhtoj aholi qatlami huquqlarini himoya qilish yo‘nalishida “huquqiy ko‘mak” aksiyasini tashkil etish orqali ularning huquqlari kafolatlari ta’minlanishi kuchaytiriladi.</w:t>
            </w:r>
            <w:r/>
          </w:p>
        </w:tc>
        <w:tc>
          <w:tcPr>
            <w:tcW w:w="3087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 xml:space="preserve">Ijtimoiy himoyaga muhtoj aholi qatlami huquqlarini himoya qil</w:t>
            </w:r>
            <w:r>
              <w:rPr>
                <w:lang w:val="uz-Cyrl-UZ"/>
              </w:rPr>
              <w:t xml:space="preserve">ish yo‘nalishida qonunchilik hujjatlari ijrosi holati va amaliyoti o‘rganiladi, muammosi mavjud shaxslarga amaliy ko’mak ko‘rsatiladi hamda aniqlangan muammo va kamchiliklar bartaraf etilib, sohani takomillashtirishga qaratilgan takliflar ishlab chiqiladi.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</w:r>
            <w:r/>
          </w:p>
        </w:tc>
      </w:tr>
      <w:tr>
        <w:trPr>
          <w:jc w:val="center"/>
          <w:trHeight w:val="241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3</w:t>
            </w:r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O‘zbekiston Respublikasi Investitsiyalar, sanoat va savdo vazirligi huzuridagi Eksportni rag‘batlantirish agentligi</w:t>
            </w:r>
            <w:r>
              <w:rPr>
                <w:lang w:val="uz-Cyrl-UZ"/>
              </w:rPr>
              <w:t xml:space="preserve">ning hududiy bo</w:t>
            </w:r>
            <w:r>
              <w:rPr>
                <w:lang w:val="uz-Cyrl-UZ"/>
              </w:rPr>
              <w:t xml:space="preserve">‘</w:t>
            </w:r>
            <w:r>
              <w:rPr>
                <w:lang w:val="uz-Cyrl-UZ"/>
              </w:rPr>
              <w:t xml:space="preserve">limlari</w:t>
            </w:r>
            <w:r>
              <w:rPr>
                <w:lang w:val="uz-Cyrl-UZ"/>
              </w:rPr>
              <w:t xml:space="preserve"> faoliyatida o‘rganish o‘tkazishni tashkil etish, bunda:</w:t>
            </w:r>
            <w:r/>
          </w:p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huquqni qoʻllash amaliyoti; davlat boshqaruvi tizimining samaradorligi; </w:t>
            </w:r>
            <w:r/>
          </w:p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qonunchilik hujjatlari (shu jumladan Prezident hujjatlari) va topshiriqlarning bajarilishi; </w:t>
            </w:r>
            <w:r/>
          </w:p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inson huquqlarini himoya qilish sohasidagi faoliyat yo‘nalishlari;</w:t>
            </w:r>
            <w:r/>
          </w:p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ma’muriy tartib-taomillarga rioya etilishi va davlat xizmati koʻrsatish holati; tartibga solish ta’sirini baholash, korrupsiyaga qarshi ekspertizadan oʻtkazish va norma ijodkorligi faoliyati; </w:t>
            </w:r>
            <w:r/>
          </w:p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yuridik xizmat faoliyati; intellektual mulk sohasi; </w:t>
            </w:r>
            <w:r/>
          </w:p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en-US"/>
              </w:rPr>
              <w:t xml:space="preserve">intellektual mulk sohasi;</w:t>
            </w:r>
            <w:r/>
          </w:p>
          <w:p>
            <w:pPr>
              <w:ind w:firstLine="405"/>
              <w:jc w:val="both"/>
              <w:rPr>
                <w:lang w:val="uz-Cyrl-UZ"/>
              </w:rPr>
            </w:pPr>
            <w:r>
              <w:rPr>
                <w:lang w:val="uz-Cyrl-UZ"/>
              </w:rPr>
              <w:t xml:space="preserve">huquqiy targʻibotni amalga oshirilishini oʻrganish. </w:t>
            </w:r>
            <w:r/>
          </w:p>
          <w:p>
            <w:pPr>
              <w:ind w:firstLine="40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 xml:space="preserve">Natijasi boʻyicha tegishli chora koʻrish hamda Adliya vazirligiga axborot berish.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 xml:space="preserve">vgust -sentabr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B.Mahmasoliyev</w:t>
            </w:r>
            <w:bookmarkStart w:id="0" w:name="_GoBack"/>
            <w:r/>
            <w:bookmarkEnd w:id="0"/>
            <w:r/>
            <w:r/>
          </w:p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Tuman adliya bo‘limlari</w:t>
            </w:r>
            <w:r/>
          </w:p>
        </w:tc>
        <w:tc>
          <w:tcPr>
            <w:tcW w:w="3370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color w:val="ff0000"/>
                <w:lang w:val="uz-Cyrl-UZ"/>
              </w:rPr>
              <w:t xml:space="preserve">Vazirlik sih rejasiga muvofiq </w:t>
            </w:r>
            <w:r>
              <w:rPr>
                <w:lang w:val="uz-Cyrl-UZ"/>
              </w:rPr>
              <w:t xml:space="preserve">Agentlik faoliyatida takrorlanuvchi vazifa va funksiyalar mavjudligi, shuningdek vazifa va funksiyalarning amalga oshirish jarayonida ortiqcha byurokratik to‘siqlar mavjudligi holatlari uchramoqda.</w:t>
            </w:r>
            <w:r/>
          </w:p>
        </w:tc>
        <w:tc>
          <w:tcPr>
            <w:tcW w:w="3087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 xml:space="preserve">Agentlik faoliyatida takrorlanuvchi vazifa va funksiyalarni qisqartirish, vazifa va funksiyalarning amalga oshirish jarayonida ortiqcha byurokratik to‘siqlarni qisqartirish.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r>
            <w:r/>
          </w:p>
        </w:tc>
      </w:tr>
      <w:tr>
        <w:trPr>
          <w:jc w:val="center"/>
          <w:trHeight w:val="241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4</w:t>
            </w:r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Toshkent shahar qurilish va uy-joy kommunal xo‘jaligi bosh boshqarmasi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hududiy bolimlari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 jismoniy va yuridik shaxslarning murojaatlari bilan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ishlash va mehnat qonunchiligi talablariga rioya qilinishi holatini o‘rganish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sentabr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A.Nekov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Tuman adliya bo‘limlari</w:t>
            </w:r>
            <w:r/>
          </w:p>
        </w:tc>
        <w:tc>
          <w:tcPr>
            <w:tcW w:w="3370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Ariza va shikoyatlarrning ko‘rib chiqilishi va mehnat qonunchiligining buzilishi, qonunchilikda belgilangan imtiyoz va ustamalarning o‘z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vaqtida yoki umuman to‘lanmasligi yuzasidan fuqarolardan kelib tushayotgan shikoyatlarning ko‘payganligi.</w:t>
            </w:r>
            <w:r/>
          </w:p>
        </w:tc>
        <w:tc>
          <w:tcPr>
            <w:tcW w:w="3087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Fuqarolar o‘z vaqtida huquq va manfaatlarini ta’minlanishiga xizmat qilishi</w:t>
            </w:r>
            <w:r/>
          </w:p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O‘rganish yakunlari yuzasidan o‘tkazilgan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tushuntirish va metodik yordam natijasida qonun buzilishi holatlarining oldi olinishi.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</w:r>
            <w:r/>
          </w:p>
        </w:tc>
      </w:tr>
      <w:tr>
        <w:trPr>
          <w:jc w:val="center"/>
          <w:trHeight w:val="241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5</w:t>
            </w:r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 xml:space="preserve">Yoshlar bilan manzilli ishlash, ularn</w:t>
            </w:r>
            <w:r>
              <w:rPr>
                <w:lang w:val="uz-Cyrl-UZ"/>
              </w:rPr>
              <w:t xml:space="preserve">ing muammolarini aniqlash, o‘rganish va hal etish, yoshlarning huquqiy ongi va huquqiy madaniyatini oshirish, yoshlar ongida qonunlarga hurmat ruhini shakllantirish maqsadida “Bolalar va yoshlarning huquqlarini himoya qilish” huquqiy aksiyasini o‘tkazish. </w:t>
            </w:r>
            <w:r>
              <w:t xml:space="preserve">Natijasi boʻyicha tahliliy ma’lumotnoma kiritish.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t xml:space="preserve">Noyabr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A.Nekov</w:t>
            </w:r>
            <w:r/>
          </w:p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M.Turdiyeva Tuman adliya bo‘limlari</w:t>
            </w:r>
            <w:r/>
          </w:p>
        </w:tc>
        <w:tc>
          <w:tcPr>
            <w:tcW w:w="3370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 xml:space="preserve">Yoshlar bilan manzilli ishlash, ularning muammolarini aniqlash, o‘rganish hamda yoshlarning huquqiy ongi va huquqiy madan</w:t>
            </w:r>
            <w:r>
              <w:rPr>
                <w:lang w:val="uz-Cyrl-UZ"/>
              </w:rPr>
              <w:t xml:space="preserve">iyatini oshirish, yoshlar ongida qonunlarga hurmat ruhini shakllantirish bugungi kunda muhim ahamiyatga ega hisoblanadi Ushbu “huquqiy ko‘mak” aksiyasini tashkil etish orqali bolalar va yoshlarning huquqlari kafolatlari ta’minlanishi yanada kuchaytiriladi.</w:t>
            </w:r>
            <w:r/>
          </w:p>
        </w:tc>
        <w:tc>
          <w:tcPr>
            <w:tcW w:w="3087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 xml:space="preserve">Yoshlar bilan manzilli ishlash, ularning muammolarini aniqlash, o‘rganish, tahli</w:t>
            </w:r>
            <w:r>
              <w:rPr>
                <w:lang w:val="uz-Cyrl-UZ"/>
              </w:rPr>
              <w:t xml:space="preserve">l qilish va hal etish, jamiyatda yoshlar rolini oshirish hamda yoshlarning huquqiy ongi va huquqiy madaniyatini oshirish, yoshlar ongida qonunlarga hurmat ruhini shakllantirish va ularning milliy vatanparvarlik tuyg‘ularini yanada kuchaytirish hisoblanadi.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</w:tr>
      <w:tr>
        <w:trPr>
          <w:jc w:val="center"/>
          <w:trHeight w:val="241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6</w:t>
            </w:r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Xodimlarning mehnat huquqlari kafolatlarini ta’minlash maqsadida “Xodimlarning mehnat huquqi kafolati” nomli “huquqiy ko‘mak” aksiyasini tashkil etish. Aksiya natijasi boʻyicha boshqarma boshlig‘iga axborot-tahliliy ma’lumotnoma kiritish.</w:t>
            </w:r>
            <w:r/>
          </w:p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</w:r>
            <w:r/>
          </w:p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iyun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Tuman adliya bo‘limlari</w:t>
            </w:r>
            <w:r/>
          </w:p>
        </w:tc>
        <w:tc>
          <w:tcPr>
            <w:tcW w:w="3370" w:type="dxa"/>
            <w:textDirection w:val="lrTb"/>
            <w:noWrap w:val="false"/>
          </w:tcPr>
          <w:p>
            <w:pPr>
              <w:ind w:firstLine="346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Xodimlarning mehnat huquqlari kafolatlarini ta’minlanmayotganligi va boshqa kamchiliklar bo‘yicha murojaatlar kelib tushmoqda.</w:t>
            </w:r>
            <w:r/>
          </w:p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Shuningdek, xodimlarning mehnat huquqlari kafolatlarini ta’minlash yo‘nalishida “huquqiy ko‘mak” aksiyasini tashkil etish orqali ularning huquqlari kafolatlari ta’minlanadi.</w:t>
            </w:r>
            <w:r/>
          </w:p>
        </w:tc>
        <w:tc>
          <w:tcPr>
            <w:tcW w:w="3087" w:type="dxa"/>
            <w:textDirection w:val="lrTb"/>
            <w:noWrap w:val="false"/>
          </w:tcPr>
          <w:p>
            <w:pPr>
              <w:ind w:firstLine="40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Xodimlarning mehnat huquqlari kafolatlarini ta’minlash yo‘nalish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ida qonunchilik hujjatlari ijrosi holati va amaliyoti tahlil qilinadi, muammosi mavjud shaxslarga amaliy ko’mak ko‘rsatiladi hamda aniqlangan huquqiy muammo va kamchiliklari bartaraf etilib, sohani takomillashtirishga qaratilgan takliflar ishlab chiqiladi.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851" w:right="851" w:bottom="851" w:left="851" w:header="454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NewRomanPS-BoldMT">
    <w:panose1 w:val="020206030504050203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jc w:val="center"/>
      <w:rPr>
        <w:rFonts w:ascii="Cambria" w:hAnsi="Cambria"/>
        <w:szCs w:val="20"/>
      </w:rPr>
    </w:pPr>
    <w:r>
      <w:rPr>
        <w:rFonts w:ascii="Cambria" w:hAnsi="Cambria"/>
        <w:szCs w:val="20"/>
      </w:rPr>
      <w:fldChar w:fldCharType="begin"/>
    </w:r>
    <w:r>
      <w:rPr>
        <w:rFonts w:ascii="Cambria" w:hAnsi="Cambria"/>
        <w:szCs w:val="20"/>
      </w:rPr>
      <w:instrText xml:space="preserve">PAGE   \* MERGEFORMAT</w:instrText>
    </w:r>
    <w:r>
      <w:rPr>
        <w:rFonts w:ascii="Cambria" w:hAnsi="Cambria"/>
        <w:szCs w:val="20"/>
      </w:rPr>
      <w:fldChar w:fldCharType="separate"/>
    </w:r>
    <w:r>
      <w:rPr>
        <w:rFonts w:ascii="Cambria" w:hAnsi="Cambria"/>
        <w:szCs w:val="20"/>
      </w:rPr>
      <w:t xml:space="preserve">5</w:t>
    </w:r>
    <w:r>
      <w:rPr>
        <w:rFonts w:ascii="Cambria" w:hAnsi="Cambria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66"/>
    <w:link w:val="65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66"/>
    <w:link w:val="679"/>
    <w:uiPriority w:val="10"/>
    <w:rPr>
      <w:sz w:val="48"/>
      <w:szCs w:val="48"/>
    </w:rPr>
  </w:style>
  <w:style w:type="character" w:styleId="38">
    <w:name w:val="Quote Char"/>
    <w:link w:val="682"/>
    <w:uiPriority w:val="29"/>
    <w:rPr>
      <w:i/>
    </w:rPr>
  </w:style>
  <w:style w:type="character" w:styleId="40">
    <w:name w:val="Intense Quote Char"/>
    <w:link w:val="684"/>
    <w:uiPriority w:val="30"/>
    <w:rPr>
      <w:i/>
    </w:rPr>
  </w:style>
  <w:style w:type="character" w:styleId="175">
    <w:name w:val="Footnote Text Char"/>
    <w:link w:val="815"/>
    <w:uiPriority w:val="99"/>
    <w:rPr>
      <w:sz w:val="18"/>
    </w:rPr>
  </w:style>
  <w:style w:type="character" w:styleId="178">
    <w:name w:val="Endnote Text Char"/>
    <w:link w:val="818"/>
    <w:uiPriority w:val="99"/>
    <w:rPr>
      <w:sz w:val="20"/>
    </w:rPr>
  </w:style>
  <w:style w:type="paragraph" w:styleId="656" w:default="1">
    <w:name w:val="Normal"/>
    <w:qFormat/>
    <w:rPr>
      <w:rFonts w:cs="Times New Roman"/>
    </w:rPr>
  </w:style>
  <w:style w:type="paragraph" w:styleId="657">
    <w:name w:val="Heading 1"/>
    <w:basedOn w:val="656"/>
    <w:next w:val="65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71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56"/>
    <w:next w:val="65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Заголовок Знак"/>
    <w:basedOn w:val="666"/>
    <w:link w:val="679"/>
    <w:uiPriority w:val="10"/>
    <w:rPr>
      <w:sz w:val="48"/>
      <w:szCs w:val="48"/>
    </w:rPr>
  </w:style>
  <w:style w:type="character" w:styleId="681" w:customStyle="1">
    <w:name w:val="Subtitle Char"/>
    <w:basedOn w:val="666"/>
    <w:uiPriority w:val="11"/>
    <w:rPr>
      <w:sz w:val="24"/>
      <w:szCs w:val="24"/>
    </w:rPr>
  </w:style>
  <w:style w:type="paragraph" w:styleId="682">
    <w:name w:val="Quote"/>
    <w:basedOn w:val="656"/>
    <w:next w:val="656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6"/>
    <w:next w:val="656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character" w:styleId="686" w:customStyle="1">
    <w:name w:val="Header Char"/>
    <w:basedOn w:val="666"/>
    <w:uiPriority w:val="99"/>
  </w:style>
  <w:style w:type="character" w:styleId="687" w:customStyle="1">
    <w:name w:val="Footer Char"/>
    <w:basedOn w:val="666"/>
    <w:uiPriority w:val="99"/>
  </w:style>
  <w:style w:type="paragraph" w:styleId="688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9" w:customStyle="1">
    <w:name w:val="Caption Char"/>
    <w:uiPriority w:val="99"/>
  </w:style>
  <w:style w:type="table" w:styleId="690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5">
    <w:name w:val="footnote text"/>
    <w:basedOn w:val="656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6"/>
    <w:uiPriority w:val="99"/>
    <w:unhideWhenUsed/>
    <w:rPr>
      <w:vertAlign w:val="superscript"/>
    </w:rPr>
  </w:style>
  <w:style w:type="paragraph" w:styleId="818">
    <w:name w:val="endnote text"/>
    <w:basedOn w:val="656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6"/>
    <w:uiPriority w:val="99"/>
    <w:semiHidden/>
    <w:unhideWhenUsed/>
    <w:rPr>
      <w:vertAlign w:val="superscript"/>
    </w:rPr>
  </w:style>
  <w:style w:type="paragraph" w:styleId="821">
    <w:name w:val="toc 1"/>
    <w:basedOn w:val="656"/>
    <w:next w:val="656"/>
    <w:uiPriority w:val="39"/>
    <w:unhideWhenUsed/>
    <w:pPr>
      <w:spacing w:after="57"/>
    </w:pPr>
  </w:style>
  <w:style w:type="paragraph" w:styleId="822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23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24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25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26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27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28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29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6"/>
    <w:next w:val="656"/>
    <w:uiPriority w:val="99"/>
    <w:unhideWhenUsed/>
    <w:pPr>
      <w:spacing w:after="0"/>
    </w:pPr>
  </w:style>
  <w:style w:type="paragraph" w:styleId="832">
    <w:name w:val="Header"/>
    <w:basedOn w:val="656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666"/>
    <w:link w:val="832"/>
    <w:uiPriority w:val="99"/>
    <w:rPr>
      <w:rFonts w:cs="Times New Roman"/>
    </w:rPr>
  </w:style>
  <w:style w:type="paragraph" w:styleId="834">
    <w:name w:val="Footer"/>
    <w:basedOn w:val="656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666"/>
    <w:link w:val="834"/>
    <w:uiPriority w:val="99"/>
    <w:rPr>
      <w:rFonts w:cs="Times New Roman"/>
    </w:rPr>
  </w:style>
  <w:style w:type="table" w:styleId="836">
    <w:name w:val="Table Grid"/>
    <w:basedOn w:val="667"/>
    <w:uiPriority w:val="39"/>
    <w:pPr>
      <w:spacing w:after="0" w:line="240" w:lineRule="auto"/>
    </w:pPr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List Paragraph"/>
    <w:basedOn w:val="656"/>
    <w:uiPriority w:val="34"/>
    <w:qFormat/>
    <w:pPr>
      <w:contextualSpacing/>
      <w:ind w:left="720"/>
    </w:pPr>
  </w:style>
  <w:style w:type="character" w:styleId="838">
    <w:name w:val="Hyperlink"/>
    <w:basedOn w:val="666"/>
    <w:uiPriority w:val="99"/>
    <w:unhideWhenUsed/>
    <w:rPr>
      <w:rFonts w:cs="Times New Roman"/>
      <w:color w:val="0563c1" w:themeColor="hyperlink"/>
      <w:u w:val="single"/>
    </w:rPr>
  </w:style>
  <w:style w:type="character" w:styleId="839" w:customStyle="1">
    <w:name w:val="tlid-translation"/>
    <w:basedOn w:val="666"/>
    <w:rPr>
      <w:rFonts w:cs="Times New Roman"/>
    </w:rPr>
  </w:style>
  <w:style w:type="paragraph" w:styleId="840">
    <w:name w:val="Balloon Text"/>
    <w:basedOn w:val="656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666"/>
    <w:link w:val="840"/>
    <w:uiPriority w:val="99"/>
    <w:semiHidden/>
    <w:rPr>
      <w:rFonts w:ascii="Segoe UI" w:hAnsi="Segoe UI" w:cs="Segoe UI"/>
      <w:sz w:val="18"/>
      <w:szCs w:val="18"/>
    </w:rPr>
  </w:style>
  <w:style w:type="character" w:styleId="842" w:customStyle="1">
    <w:name w:val="clausesuff"/>
    <w:basedOn w:val="666"/>
  </w:style>
  <w:style w:type="paragraph" w:styleId="843">
    <w:name w:val="Subtitle"/>
    <w:basedOn w:val="656"/>
    <w:link w:val="844"/>
    <w:qFormat/>
    <w:pPr>
      <w:jc w:val="center"/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character" w:styleId="844" w:customStyle="1">
    <w:name w:val="Подзаголовок Знак"/>
    <w:basedOn w:val="666"/>
    <w:link w:val="843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845" w:customStyle="1">
    <w:name w:val="Знак Знак Знак1 Знак Знак Знак Знак Знак Знак Знак"/>
    <w:basedOn w:val="656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styleId="846">
    <w:name w:val="Normal (Web)"/>
    <w:basedOn w:val="6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47" w:customStyle="1">
    <w:name w:val="Table Paragraph"/>
    <w:basedOn w:val="656"/>
    <w:uiPriority w:val="1"/>
    <w:qFormat/>
    <w:pPr>
      <w:ind w:left="110"/>
      <w:spacing w:after="0" w:line="240" w:lineRule="auto"/>
      <w:widowControl w:val="off"/>
    </w:pPr>
    <w:rPr>
      <w:rFonts w:ascii="Times New Roman" w:hAnsi="Times New Roman"/>
      <w:lang w:val="tr-TR"/>
    </w:rPr>
  </w:style>
  <w:style w:type="character" w:styleId="848" w:customStyle="1">
    <w:name w:val="fontstyle01"/>
    <w:basedOn w:val="666"/>
    <w:rPr>
      <w:rFonts w:hint="default"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styleId="849" w:customStyle="1">
    <w:name w:val="fontstyle21"/>
    <w:basedOn w:val="666"/>
    <w:rPr>
      <w:rFonts w:hint="default" w:ascii="TimesNewRomanPS-BoldMT" w:hAnsi="TimesNewRomanPS-BoldM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E8D4-87BA-4873-8FB8-C1A01694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/>
  <cp:lastModifiedBy>Guest</cp:lastModifiedBy>
  <cp:revision>42</cp:revision>
  <dcterms:created xsi:type="dcterms:W3CDTF">2024-01-05T04:38:00Z</dcterms:created>
  <dcterms:modified xsi:type="dcterms:W3CDTF">2025-10-10T07:36:22Z</dcterms:modified>
</cp:coreProperties>
</file>